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3"/>
        <w:ind w:right="169"/>
        <w:jc w:val="right"/>
      </w:pPr>
      <w:r>
        <w:rPr/>
        <w:t>別紙様式３</w:t>
      </w:r>
    </w:p>
    <w:p>
      <w:pPr>
        <w:pStyle w:val="BodyText"/>
        <w:rPr>
          <w:sz w:val="20"/>
        </w:rPr>
      </w:pPr>
    </w:p>
    <w:p>
      <w:pPr>
        <w:spacing w:before="201"/>
        <w:ind w:left="3864" w:right="3774" w:firstLine="0"/>
        <w:jc w:val="center"/>
        <w:rPr>
          <w:rFonts w:ascii="ＭＳ ゴシック" w:eastAsia="ＭＳ ゴシック" w:hint="eastAsia"/>
          <w:b/>
          <w:sz w:val="28"/>
        </w:rPr>
      </w:pPr>
      <w:r>
        <w:rPr/>
        <w:pict>
          <v:group style="position:absolute;margin-left:42.540001pt;margin-top:-6.670162pt;width:517.65pt;height:645.5pt;mso-position-horizontal-relative:page;mso-position-vertical-relative:paragraph;z-index:-252111872" coordorigin="851,-133" coordsize="10353,12910">
            <v:line style="position:absolute" from="851,-129" to="11203,-129" stroked="true" strokeweight=".48004pt" strokecolor="#000000">
              <v:stroke dashstyle="solid"/>
            </v:line>
            <v:line style="position:absolute" from="856,-133" to="856,12776" stroked="true" strokeweight=".48pt" strokecolor="#000000">
              <v:stroke dashstyle="solid"/>
            </v:line>
            <v:line style="position:absolute" from="851,12771" to="11194,12771" stroked="true" strokeweight=".48001pt" strokecolor="#000000">
              <v:stroke dashstyle="solid"/>
            </v:line>
            <v:line style="position:absolute" from="11198,-133" to="11198,12776" stroked="true" strokeweight=".48004pt" strokecolor="#000000">
              <v:stroke dashstyle="solid"/>
            </v:line>
            <w10:wrap type="none"/>
          </v:group>
        </w:pict>
      </w:r>
      <w:r>
        <w:rPr>
          <w:rFonts w:ascii="ＭＳ ゴシック" w:eastAsia="ＭＳ ゴシック" w:hint="eastAsia"/>
          <w:b/>
          <w:sz w:val="28"/>
        </w:rPr>
        <w:t>授業公欠届（感染症）</w:t>
      </w:r>
    </w:p>
    <w:p>
      <w:pPr>
        <w:pStyle w:val="BodyText"/>
        <w:spacing w:before="7"/>
        <w:rPr>
          <w:rFonts w:ascii="ＭＳ ゴシック"/>
          <w:b/>
          <w:sz w:val="13"/>
        </w:rPr>
      </w:pPr>
    </w:p>
    <w:p>
      <w:pPr>
        <w:spacing w:after="0"/>
        <w:rPr>
          <w:rFonts w:ascii="ＭＳ ゴシック"/>
          <w:sz w:val="13"/>
        </w:rPr>
        <w:sectPr>
          <w:type w:val="continuous"/>
          <w:pgSz w:w="11910" w:h="16840"/>
          <w:pgMar w:top="560" w:bottom="280" w:left="740" w:right="680"/>
        </w:sectPr>
      </w:pPr>
    </w:p>
    <w:p>
      <w:pPr>
        <w:pStyle w:val="BodyText"/>
        <w:spacing w:before="10"/>
        <w:rPr>
          <w:rFonts w:ascii="ＭＳ ゴシック"/>
          <w:b/>
          <w:sz w:val="26"/>
        </w:rPr>
      </w:pPr>
    </w:p>
    <w:p>
      <w:pPr>
        <w:pStyle w:val="Heading1"/>
        <w:ind w:left="743"/>
      </w:pPr>
      <w:r>
        <w:rPr>
          <w:spacing w:val="-17"/>
        </w:rPr>
        <w:t>学部長</w:t>
      </w:r>
      <w:r>
        <w:rPr>
          <w:spacing w:val="-16"/>
        </w:rPr>
        <w:t>（</w:t>
      </w:r>
      <w:r>
        <w:rPr>
          <w:spacing w:val="-17"/>
        </w:rPr>
        <w:t>研究科長</w:t>
      </w:r>
      <w:r>
        <w:rPr/>
        <w:t>）</w:t>
      </w:r>
      <w:r>
        <w:rPr>
          <w:spacing w:val="36"/>
        </w:rPr>
        <w:t> 殿</w:t>
      </w:r>
    </w:p>
    <w:p>
      <w:pPr>
        <w:tabs>
          <w:tab w:pos="4770" w:val="left" w:leader="none"/>
          <w:tab w:pos="5400" w:val="left" w:leader="none"/>
          <w:tab w:pos="6030" w:val="left" w:leader="none"/>
        </w:tabs>
        <w:spacing w:before="71"/>
        <w:ind w:left="3930" w:right="0" w:firstLine="0"/>
        <w:jc w:val="left"/>
        <w:rPr>
          <w:sz w:val="21"/>
        </w:rPr>
      </w:pPr>
      <w:r>
        <w:rPr/>
        <w:br w:type="column"/>
      </w:r>
      <w:r>
        <w:rPr>
          <w:sz w:val="21"/>
        </w:rPr>
        <w:t>令和</w:t>
        <w:tab/>
        <w:t>年</w:t>
        <w:tab/>
        <w:t>月</w:t>
        <w:tab/>
        <w:t>日</w:t>
      </w:r>
    </w:p>
    <w:p>
      <w:pPr>
        <w:pStyle w:val="BodyText"/>
        <w:spacing w:before="6"/>
        <w:rPr>
          <w:sz w:val="21"/>
        </w:rPr>
      </w:pPr>
    </w:p>
    <w:p>
      <w:pPr>
        <w:tabs>
          <w:tab w:pos="6157" w:val="left" w:leader="none"/>
          <w:tab w:pos="6204" w:val="left" w:leader="none"/>
        </w:tabs>
        <w:spacing w:line="345" w:lineRule="auto" w:before="1"/>
        <w:ind w:left="745" w:right="584" w:hanging="3"/>
        <w:jc w:val="both"/>
        <w:rPr>
          <w:rFonts w:ascii="Times New Roman" w:eastAsia="Times New Roman"/>
          <w:sz w:val="21"/>
        </w:rPr>
      </w:pPr>
      <w:r>
        <w:rPr>
          <w:sz w:val="21"/>
        </w:rPr>
        <w:t>所  </w:t>
      </w:r>
      <w:r>
        <w:rPr>
          <w:spacing w:val="24"/>
          <w:sz w:val="21"/>
        </w:rPr>
        <w:t> </w:t>
      </w:r>
      <w:r>
        <w:rPr>
          <w:sz w:val="21"/>
        </w:rPr>
        <w:t>属</w:t>
      </w:r>
      <w:r>
        <w:rPr>
          <w:spacing w:val="-27"/>
          <w:sz w:val="21"/>
        </w:rPr>
        <w:t> </w:t>
      </w:r>
      <w:r>
        <w:rPr>
          <w:rFonts w:ascii="Times New Roman" w:eastAsia="Times New Roman"/>
          <w:sz w:val="21"/>
          <w:u w:val="single"/>
        </w:rPr>
        <w:t> </w:t>
        <w:tab/>
        <w:tab/>
        <w:t> </w:t>
      </w:r>
      <w:r>
        <w:rPr>
          <w:spacing w:val="-16"/>
          <w:sz w:val="21"/>
        </w:rPr>
        <w:t>学生番</w:t>
      </w:r>
      <w:r>
        <w:rPr>
          <w:sz w:val="21"/>
        </w:rPr>
        <w:t>号</w:t>
      </w:r>
      <w:r>
        <w:rPr>
          <w:spacing w:val="-32"/>
          <w:sz w:val="21"/>
        </w:rPr>
        <w:t> </w:t>
      </w:r>
      <w:r>
        <w:rPr>
          <w:rFonts w:ascii="Times New Roman" w:eastAsia="Times New Roman"/>
          <w:sz w:val="21"/>
          <w:u w:val="single"/>
        </w:rPr>
        <w:t> </w:t>
        <w:tab/>
      </w:r>
      <w:r>
        <w:rPr>
          <w:rFonts w:ascii="Times New Roman" w:eastAsia="Times New Roman"/>
          <w:w w:val="22"/>
          <w:sz w:val="21"/>
          <w:u w:val="single"/>
        </w:rPr>
        <w:t> </w:t>
      </w:r>
      <w:r>
        <w:rPr>
          <w:sz w:val="21"/>
        </w:rPr>
        <w:t>氏  </w:t>
      </w:r>
      <w:r>
        <w:rPr>
          <w:spacing w:val="58"/>
          <w:sz w:val="21"/>
        </w:rPr>
        <w:t> </w:t>
      </w:r>
      <w:r>
        <w:rPr>
          <w:sz w:val="21"/>
        </w:rPr>
        <w:t>名</w:t>
      </w:r>
      <w:r>
        <w:rPr>
          <w:spacing w:val="-32"/>
          <w:sz w:val="21"/>
        </w:rPr>
        <w:t> </w:t>
      </w:r>
      <w:r>
        <w:rPr>
          <w:rFonts w:ascii="Times New Roman" w:eastAsia="Times New Roman"/>
          <w:sz w:val="21"/>
          <w:u w:val="single"/>
        </w:rPr>
        <w:t> </w:t>
        <w:tab/>
      </w:r>
    </w:p>
    <w:p>
      <w:pPr>
        <w:spacing w:after="0" w:line="345" w:lineRule="auto"/>
        <w:jc w:val="both"/>
        <w:rPr>
          <w:rFonts w:ascii="Times New Roman" w:eastAsia="Times New Roman"/>
          <w:sz w:val="21"/>
        </w:rPr>
        <w:sectPr>
          <w:type w:val="continuous"/>
          <w:pgSz w:w="11910" w:h="16840"/>
          <w:pgMar w:top="560" w:bottom="280" w:left="740" w:right="680"/>
          <w:cols w:num="2" w:equalWidth="0">
            <w:col w:w="2933" w:space="761"/>
            <w:col w:w="6796"/>
          </w:cols>
        </w:sectPr>
      </w:pPr>
    </w:p>
    <w:p>
      <w:pPr>
        <w:spacing w:before="126"/>
        <w:ind w:left="1026" w:right="0" w:firstLine="0"/>
        <w:jc w:val="left"/>
        <w:rPr>
          <w:sz w:val="21"/>
        </w:rPr>
      </w:pPr>
      <w:r>
        <w:rPr>
          <w:sz w:val="21"/>
        </w:rPr>
        <w:t>このたび，感染症罹患により通学できなかったため，出席できなかった授業科目を届け出ます。</w:t>
      </w:r>
    </w:p>
    <w:p>
      <w:pPr>
        <w:pStyle w:val="BodyText"/>
        <w:spacing w:before="7"/>
        <w:rPr>
          <w:sz w:val="13"/>
        </w:rPr>
      </w:pPr>
    </w:p>
    <w:p>
      <w:pPr>
        <w:spacing w:before="71"/>
        <w:ind w:left="106" w:right="0" w:firstLine="0"/>
        <w:jc w:val="center"/>
        <w:rPr>
          <w:sz w:val="21"/>
        </w:rPr>
      </w:pPr>
      <w:r>
        <w:rPr>
          <w:sz w:val="21"/>
        </w:rPr>
        <w:t>記</w:t>
      </w:r>
    </w:p>
    <w:p>
      <w:pPr>
        <w:spacing w:before="3"/>
        <w:ind w:left="363" w:right="0" w:firstLine="0"/>
        <w:jc w:val="left"/>
        <w:rPr>
          <w:rFonts w:ascii="ＭＳ ゴシック" w:eastAsia="ＭＳ ゴシック" w:hint="eastAsia"/>
          <w:b/>
          <w:sz w:val="21"/>
        </w:rPr>
      </w:pPr>
      <w:r>
        <w:rPr>
          <w:rFonts w:ascii="ＭＳ ゴシック" w:eastAsia="ＭＳ ゴシック" w:hint="eastAsia"/>
          <w:b/>
          <w:sz w:val="21"/>
        </w:rPr>
        <w:t>１．罹患した病名</w:t>
      </w:r>
    </w:p>
    <w:p>
      <w:pPr>
        <w:pStyle w:val="BodyText"/>
        <w:rPr>
          <w:rFonts w:ascii="ＭＳ ゴシック"/>
          <w:b/>
          <w:sz w:val="20"/>
        </w:rPr>
      </w:pPr>
    </w:p>
    <w:p>
      <w:pPr>
        <w:pStyle w:val="BodyText"/>
        <w:spacing w:before="12"/>
        <w:rPr>
          <w:rFonts w:ascii="ＭＳ ゴシック"/>
          <w:b/>
          <w:sz w:val="17"/>
        </w:rPr>
      </w:pPr>
    </w:p>
    <w:p>
      <w:pPr>
        <w:spacing w:line="244" w:lineRule="auto" w:before="0"/>
        <w:ind w:left="2935" w:right="219" w:hanging="2572"/>
        <w:jc w:val="left"/>
        <w:rPr>
          <w:rFonts w:ascii="ＭＳ ゴシック" w:eastAsia="ＭＳ ゴシック" w:hint="eastAsia"/>
          <w:b/>
          <w:sz w:val="16"/>
        </w:rPr>
      </w:pPr>
      <w:r>
        <w:rPr>
          <w:rFonts w:ascii="ＭＳ ゴシック" w:eastAsia="ＭＳ ゴシック" w:hint="eastAsia"/>
          <w:b/>
          <w:spacing w:val="-16"/>
          <w:sz w:val="21"/>
        </w:rPr>
        <w:t>２．罹患期間</w:t>
      </w:r>
      <w:r>
        <w:rPr>
          <w:rFonts w:ascii="ＭＳ ゴシック" w:eastAsia="ＭＳ ゴシック" w:hint="eastAsia"/>
          <w:b/>
          <w:spacing w:val="-15"/>
          <w:sz w:val="21"/>
        </w:rPr>
        <w:t>（</w:t>
      </w:r>
      <w:r>
        <w:rPr>
          <w:rFonts w:ascii="ＭＳ ゴシック" w:eastAsia="ＭＳ ゴシック" w:hint="eastAsia"/>
          <w:b/>
          <w:spacing w:val="-16"/>
          <w:sz w:val="21"/>
        </w:rPr>
        <w:t>公欠期間</w:t>
      </w:r>
      <w:r>
        <w:rPr>
          <w:rFonts w:ascii="ＭＳ ゴシック" w:eastAsia="ＭＳ ゴシック" w:hint="eastAsia"/>
          <w:b/>
          <w:spacing w:val="-8"/>
          <w:sz w:val="21"/>
        </w:rPr>
        <w:t>）</w:t>
      </w:r>
      <w:r>
        <w:rPr>
          <w:rFonts w:ascii="ＭＳ ゴシック" w:eastAsia="ＭＳ ゴシック" w:hint="eastAsia"/>
          <w:b/>
          <w:spacing w:val="-8"/>
          <w:sz w:val="18"/>
        </w:rPr>
        <w:t>［</w:t>
      </w:r>
      <w:r>
        <w:rPr>
          <w:rFonts w:ascii="ＭＳ ゴシック" w:eastAsia="ＭＳ ゴシック" w:hint="eastAsia"/>
          <w:b/>
          <w:spacing w:val="-22"/>
          <w:sz w:val="18"/>
        </w:rPr>
        <w:t> 医師が発行する罹患期間の記載された診断書</w:t>
      </w:r>
      <w:r>
        <w:rPr>
          <w:rFonts w:ascii="ＭＳ ゴシック" w:eastAsia="ＭＳ ゴシック" w:hint="eastAsia"/>
          <w:b/>
          <w:sz w:val="18"/>
        </w:rPr>
        <w:t>（</w:t>
      </w:r>
      <w:r>
        <w:rPr>
          <w:rFonts w:ascii="ＭＳ ゴシック" w:eastAsia="ＭＳ ゴシック" w:hint="eastAsia"/>
          <w:b/>
          <w:spacing w:val="-23"/>
          <w:sz w:val="18"/>
        </w:rPr>
        <w:t> 治癒証明書</w:t>
      </w:r>
      <w:r>
        <w:rPr>
          <w:rFonts w:ascii="ＭＳ ゴシック" w:eastAsia="ＭＳ ゴシック" w:hint="eastAsia"/>
          <w:b/>
          <w:spacing w:val="-15"/>
          <w:sz w:val="18"/>
        </w:rPr>
        <w:t>（</w:t>
      </w:r>
      <w:r>
        <w:rPr>
          <w:rFonts w:ascii="ＭＳ ゴシック" w:eastAsia="ＭＳ ゴシック" w:hint="eastAsia"/>
          <w:b/>
          <w:spacing w:val="-16"/>
          <w:sz w:val="18"/>
        </w:rPr>
        <w:t>コピー可））又は発症日の記載された診断書（コピー可）</w:t>
      </w:r>
      <w:r>
        <w:rPr>
          <w:rFonts w:ascii="ＭＳ ゴシック" w:eastAsia="ＭＳ ゴシック" w:hint="eastAsia"/>
          <w:b/>
          <w:spacing w:val="-17"/>
          <w:sz w:val="18"/>
        </w:rPr>
        <w:t>及び「インフルエンザ経過報告書」を添付 </w:t>
      </w:r>
      <w:r>
        <w:rPr>
          <w:rFonts w:ascii="ＭＳ ゴシック" w:eastAsia="ＭＳ ゴシック" w:hint="eastAsia"/>
          <w:b/>
          <w:sz w:val="16"/>
        </w:rPr>
        <w:t>］</w:t>
      </w:r>
    </w:p>
    <w:p>
      <w:pPr>
        <w:pStyle w:val="BodyText"/>
        <w:spacing w:before="7"/>
        <w:rPr>
          <w:rFonts w:ascii="ＭＳ ゴシック"/>
          <w:b/>
          <w:sz w:val="18"/>
        </w:rPr>
      </w:pPr>
    </w:p>
    <w:p>
      <w:pPr>
        <w:pStyle w:val="Heading1"/>
        <w:tabs>
          <w:tab w:pos="2172" w:val="left" w:leader="none"/>
          <w:tab w:pos="2802" w:val="left" w:leader="none"/>
          <w:tab w:pos="3432" w:val="left" w:leader="none"/>
          <w:tab w:pos="4376" w:val="left" w:leader="none"/>
          <w:tab w:pos="5006" w:val="left" w:leader="none"/>
          <w:tab w:pos="5636" w:val="left" w:leader="none"/>
        </w:tabs>
        <w:ind w:left="1332"/>
      </w:pPr>
      <w:r>
        <w:rPr/>
        <w:t>令和</w:t>
        <w:tab/>
        <w:t>年</w:t>
        <w:tab/>
        <w:t>月</w:t>
        <w:tab/>
        <w:t>日</w:t>
      </w:r>
      <w:r>
        <w:rPr>
          <w:spacing w:val="-1"/>
        </w:rPr>
        <w:t> </w:t>
      </w:r>
      <w:r>
        <w:rPr/>
        <w:t>～</w:t>
        <w:tab/>
        <w:t>年</w:t>
        <w:tab/>
        <w:t>月</w:t>
        <w:tab/>
        <w:t>日</w:t>
      </w:r>
    </w:p>
    <w:p>
      <w:pPr>
        <w:pStyle w:val="BodyText"/>
        <w:spacing w:before="1"/>
        <w:rPr>
          <w:sz w:val="19"/>
        </w:rPr>
      </w:pPr>
    </w:p>
    <w:p>
      <w:pPr>
        <w:spacing w:before="0" w:after="3"/>
        <w:ind w:left="363" w:right="0" w:firstLine="0"/>
        <w:jc w:val="left"/>
        <w:rPr>
          <w:rFonts w:ascii="ＭＳ ゴシック" w:eastAsia="ＭＳ ゴシック" w:hint="eastAsia"/>
          <w:b/>
          <w:sz w:val="21"/>
        </w:rPr>
      </w:pPr>
      <w:r>
        <w:rPr>
          <w:rFonts w:ascii="ＭＳ ゴシック" w:eastAsia="ＭＳ ゴシック" w:hint="eastAsia"/>
          <w:b/>
          <w:sz w:val="21"/>
        </w:rPr>
        <w:t>３．出席できなかった授業科目</w:t>
      </w:r>
    </w:p>
    <w:tbl>
      <w:tblPr>
        <w:tblW w:w="0" w:type="auto"/>
        <w:jc w:val="left"/>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2"/>
        <w:gridCol w:w="1574"/>
        <w:gridCol w:w="4252"/>
        <w:gridCol w:w="1844"/>
      </w:tblGrid>
      <w:tr>
        <w:trPr>
          <w:trHeight w:val="401" w:hRule="atLeast"/>
        </w:trPr>
        <w:tc>
          <w:tcPr>
            <w:tcW w:w="1972" w:type="dxa"/>
            <w:tcBorders>
              <w:bottom w:val="double" w:sz="1" w:space="0" w:color="000000"/>
            </w:tcBorders>
          </w:tcPr>
          <w:p>
            <w:pPr>
              <w:pStyle w:val="TableParagraph"/>
              <w:spacing w:before="86"/>
              <w:ind w:left="175"/>
              <w:rPr>
                <w:sz w:val="18"/>
              </w:rPr>
            </w:pPr>
            <w:r>
              <w:rPr>
                <w:sz w:val="18"/>
              </w:rPr>
              <w:t>月日（曜日）・時限</w:t>
            </w:r>
          </w:p>
        </w:tc>
        <w:tc>
          <w:tcPr>
            <w:tcW w:w="1574" w:type="dxa"/>
            <w:tcBorders>
              <w:bottom w:val="double" w:sz="1" w:space="0" w:color="000000"/>
            </w:tcBorders>
          </w:tcPr>
          <w:p>
            <w:pPr>
              <w:pStyle w:val="TableParagraph"/>
              <w:spacing w:before="65"/>
              <w:ind w:left="364"/>
              <w:rPr>
                <w:sz w:val="21"/>
              </w:rPr>
            </w:pPr>
            <w:r>
              <w:rPr>
                <w:sz w:val="21"/>
              </w:rPr>
              <w:t>講義番号</w:t>
            </w:r>
          </w:p>
        </w:tc>
        <w:tc>
          <w:tcPr>
            <w:tcW w:w="4252" w:type="dxa"/>
            <w:tcBorders>
              <w:bottom w:val="double" w:sz="1" w:space="0" w:color="000000"/>
            </w:tcBorders>
          </w:tcPr>
          <w:p>
            <w:pPr>
              <w:pStyle w:val="TableParagraph"/>
              <w:spacing w:before="65"/>
              <w:ind w:left="1578" w:right="1574"/>
              <w:jc w:val="center"/>
              <w:rPr>
                <w:sz w:val="21"/>
              </w:rPr>
            </w:pPr>
            <w:r>
              <w:rPr>
                <w:sz w:val="21"/>
              </w:rPr>
              <w:t>授業科目名</w:t>
            </w:r>
          </w:p>
        </w:tc>
        <w:tc>
          <w:tcPr>
            <w:tcW w:w="1844" w:type="dxa"/>
            <w:tcBorders>
              <w:bottom w:val="double" w:sz="1" w:space="0" w:color="000000"/>
            </w:tcBorders>
          </w:tcPr>
          <w:p>
            <w:pPr>
              <w:pStyle w:val="TableParagraph"/>
              <w:spacing w:before="65"/>
              <w:ind w:left="392"/>
              <w:rPr>
                <w:sz w:val="21"/>
              </w:rPr>
            </w:pPr>
            <w:r>
              <w:rPr>
                <w:sz w:val="21"/>
              </w:rPr>
              <w:t>担当教員名</w:t>
            </w:r>
          </w:p>
        </w:tc>
      </w:tr>
      <w:tr>
        <w:trPr>
          <w:trHeight w:val="333" w:hRule="atLeast"/>
        </w:trPr>
        <w:tc>
          <w:tcPr>
            <w:tcW w:w="1972" w:type="dxa"/>
            <w:tcBorders>
              <w:top w:val="double" w:sz="1" w:space="0" w:color="000000"/>
            </w:tcBorders>
          </w:tcPr>
          <w:p>
            <w:pPr>
              <w:pStyle w:val="TableParagraph"/>
              <w:rPr>
                <w:rFonts w:ascii="Times New Roman"/>
                <w:sz w:val="16"/>
              </w:rPr>
            </w:pPr>
          </w:p>
        </w:tc>
        <w:tc>
          <w:tcPr>
            <w:tcW w:w="1574" w:type="dxa"/>
            <w:tcBorders>
              <w:top w:val="double" w:sz="1" w:space="0" w:color="000000"/>
            </w:tcBorders>
          </w:tcPr>
          <w:p>
            <w:pPr>
              <w:pStyle w:val="TableParagraph"/>
              <w:rPr>
                <w:rFonts w:ascii="Times New Roman"/>
                <w:sz w:val="16"/>
              </w:rPr>
            </w:pPr>
          </w:p>
        </w:tc>
        <w:tc>
          <w:tcPr>
            <w:tcW w:w="4252" w:type="dxa"/>
            <w:tcBorders>
              <w:top w:val="double" w:sz="1" w:space="0" w:color="000000"/>
            </w:tcBorders>
          </w:tcPr>
          <w:p>
            <w:pPr>
              <w:pStyle w:val="TableParagraph"/>
              <w:rPr>
                <w:rFonts w:ascii="Times New Roman"/>
                <w:sz w:val="16"/>
              </w:rPr>
            </w:pPr>
          </w:p>
        </w:tc>
        <w:tc>
          <w:tcPr>
            <w:tcW w:w="1844" w:type="dxa"/>
            <w:tcBorders>
              <w:top w:val="double" w:sz="1" w:space="0" w:color="000000"/>
            </w:tcBorders>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1"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2"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2"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333"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r>
        <w:trPr>
          <w:trHeight w:val="295" w:hRule="atLeast"/>
        </w:trPr>
        <w:tc>
          <w:tcPr>
            <w:tcW w:w="1972" w:type="dxa"/>
          </w:tcPr>
          <w:p>
            <w:pPr>
              <w:pStyle w:val="TableParagraph"/>
              <w:rPr>
                <w:rFonts w:ascii="Times New Roman"/>
                <w:sz w:val="16"/>
              </w:rPr>
            </w:pPr>
          </w:p>
        </w:tc>
        <w:tc>
          <w:tcPr>
            <w:tcW w:w="1574" w:type="dxa"/>
          </w:tcPr>
          <w:p>
            <w:pPr>
              <w:pStyle w:val="TableParagraph"/>
              <w:rPr>
                <w:rFonts w:ascii="Times New Roman"/>
                <w:sz w:val="16"/>
              </w:rPr>
            </w:pPr>
          </w:p>
        </w:tc>
        <w:tc>
          <w:tcPr>
            <w:tcW w:w="4252" w:type="dxa"/>
          </w:tcPr>
          <w:p>
            <w:pPr>
              <w:pStyle w:val="TableParagraph"/>
              <w:rPr>
                <w:rFonts w:ascii="Times New Roman"/>
                <w:sz w:val="16"/>
              </w:rPr>
            </w:pPr>
          </w:p>
        </w:tc>
        <w:tc>
          <w:tcPr>
            <w:tcW w:w="1844" w:type="dxa"/>
          </w:tcPr>
          <w:p>
            <w:pPr>
              <w:pStyle w:val="TableParagraph"/>
              <w:rPr>
                <w:rFonts w:ascii="Times New Roman"/>
                <w:sz w:val="16"/>
              </w:rPr>
            </w:pPr>
          </w:p>
        </w:tc>
      </w:tr>
    </w:tbl>
    <w:p>
      <w:pPr>
        <w:pStyle w:val="BodyText"/>
        <w:spacing w:before="8"/>
        <w:rPr>
          <w:rFonts w:ascii="ＭＳ ゴシック"/>
          <w:b/>
          <w:sz w:val="25"/>
        </w:rPr>
      </w:pPr>
    </w:p>
    <w:p>
      <w:pPr>
        <w:pStyle w:val="Heading2"/>
        <w:spacing w:before="0"/>
        <w:ind w:left="110"/>
        <w:rPr>
          <w:rFonts w:ascii="ＭＳ ゴシック" w:eastAsia="ＭＳ ゴシック" w:hint="eastAsia"/>
        </w:rPr>
      </w:pPr>
      <w:r>
        <w:rPr>
          <w:rFonts w:ascii="ＭＳ ゴシック" w:eastAsia="ＭＳ ゴシック" w:hint="eastAsia"/>
        </w:rPr>
        <w:t>【手続き方法】</w:t>
      </w:r>
    </w:p>
    <w:p>
      <w:pPr>
        <w:spacing w:line="242" w:lineRule="auto" w:before="2"/>
        <w:ind w:left="422" w:right="169" w:hanging="156"/>
        <w:jc w:val="left"/>
        <w:rPr>
          <w:sz w:val="16"/>
        </w:rPr>
      </w:pPr>
      <w:r>
        <w:rPr>
          <w:spacing w:val="-7"/>
          <w:sz w:val="16"/>
        </w:rPr>
        <w:t>１ 医師に治癒したと診断された後，所属学部等の教務担当へ行き，「授業公欠届</w:t>
      </w:r>
      <w:r>
        <w:rPr>
          <w:spacing w:val="-4"/>
          <w:sz w:val="16"/>
        </w:rPr>
        <w:t>（感染症</w:t>
      </w:r>
      <w:r>
        <w:rPr>
          <w:spacing w:val="-16"/>
          <w:sz w:val="16"/>
        </w:rPr>
        <w:t>）</w:t>
      </w:r>
      <w:r>
        <w:rPr>
          <w:spacing w:val="-9"/>
          <w:sz w:val="16"/>
        </w:rPr>
        <w:t>」に必要事項を記入の上，医師の診断書</w:t>
      </w:r>
      <w:r>
        <w:rPr>
          <w:spacing w:val="-4"/>
          <w:sz w:val="16"/>
        </w:rPr>
        <w:t>（治癒証明書（コピー可））とともに提出してください。</w:t>
      </w:r>
    </w:p>
    <w:p>
      <w:pPr>
        <w:spacing w:line="242" w:lineRule="auto" w:before="1"/>
        <w:ind w:left="422" w:right="166" w:hanging="156"/>
        <w:jc w:val="left"/>
        <w:rPr>
          <w:sz w:val="16"/>
        </w:rPr>
      </w:pPr>
      <w:r>
        <w:rPr>
          <w:spacing w:val="-6"/>
          <w:sz w:val="16"/>
        </w:rPr>
        <w:t>２ インフルエンザの場合は上記１の治癒証明書に代えて，発症日が記載された罹患期間のない診断書</w:t>
      </w:r>
      <w:r>
        <w:rPr>
          <w:spacing w:val="-4"/>
          <w:sz w:val="16"/>
        </w:rPr>
        <w:t>（コピー可</w:t>
      </w:r>
      <w:r>
        <w:rPr>
          <w:spacing w:val="-27"/>
          <w:sz w:val="16"/>
        </w:rPr>
        <w:t>）</w:t>
      </w:r>
      <w:r>
        <w:rPr>
          <w:spacing w:val="-9"/>
          <w:sz w:val="16"/>
        </w:rPr>
        <w:t>及び「インフルエンザ経過報告書」で手続きをすることができます。</w:t>
      </w:r>
    </w:p>
    <w:p>
      <w:pPr>
        <w:spacing w:before="2"/>
        <w:ind w:left="266" w:right="0" w:firstLine="0"/>
        <w:jc w:val="left"/>
        <w:rPr>
          <w:sz w:val="16"/>
        </w:rPr>
      </w:pPr>
      <w:r>
        <w:rPr>
          <w:sz w:val="16"/>
        </w:rPr>
        <w:t>３ 提出後，公欠扱いとなった授業の措置について，授業担当教員の指示を確認してください。</w:t>
      </w:r>
    </w:p>
    <w:p>
      <w:pPr>
        <w:spacing w:before="2"/>
        <w:ind w:left="266" w:right="0" w:firstLine="0"/>
        <w:jc w:val="left"/>
        <w:rPr>
          <w:sz w:val="16"/>
        </w:rPr>
      </w:pPr>
      <w:r>
        <w:rPr>
          <w:sz w:val="16"/>
        </w:rPr>
        <w:t>４ 定期・期末試験が受験できなかった場合は，併せて「追試験願，受験延期願」等により，所定の手続きを行ってください。</w:t>
      </w:r>
    </w:p>
    <w:p>
      <w:pPr>
        <w:spacing w:before="2"/>
        <w:ind w:left="266" w:right="0" w:firstLine="0"/>
        <w:jc w:val="left"/>
        <w:rPr>
          <w:sz w:val="16"/>
        </w:rPr>
      </w:pPr>
      <w:r>
        <w:rPr>
          <w:sz w:val="16"/>
        </w:rPr>
        <w:t>５ 本届及び添付書類に記載された個人情報については，公欠の手続業務及び学内関係者への報告にのみ利用します。</w:t>
      </w:r>
    </w:p>
    <w:p>
      <w:pPr>
        <w:spacing w:after="0"/>
        <w:jc w:val="left"/>
        <w:rPr>
          <w:sz w:val="16"/>
        </w:rPr>
        <w:sectPr>
          <w:type w:val="continuous"/>
          <w:pgSz w:w="11910" w:h="16840"/>
          <w:pgMar w:top="560" w:bottom="280" w:left="740" w:right="680"/>
        </w:sectPr>
      </w:pPr>
    </w:p>
    <w:p>
      <w:pPr>
        <w:pStyle w:val="BodyText"/>
        <w:spacing w:before="6"/>
        <w:rPr>
          <w:sz w:val="17"/>
        </w:rPr>
      </w:pPr>
    </w:p>
    <w:p>
      <w:pPr>
        <w:pStyle w:val="Heading3"/>
        <w:spacing w:before="1"/>
        <w:ind w:left="3032"/>
      </w:pPr>
      <w:r>
        <w:rPr/>
        <w:t>学生の通学が困難となる事由が発生した場合における授業等の取扱いについて</w:t>
      </w:r>
    </w:p>
    <w:p>
      <w:pPr>
        <w:spacing w:before="68"/>
        <w:ind w:left="1014" w:right="0" w:firstLine="0"/>
        <w:jc w:val="left"/>
        <w:rPr>
          <w:b/>
          <w:sz w:val="12"/>
        </w:rPr>
      </w:pPr>
      <w:r>
        <w:rPr/>
        <w:br w:type="column"/>
      </w:r>
      <w:r>
        <w:rPr>
          <w:b/>
          <w:spacing w:val="3"/>
          <w:w w:val="95"/>
          <w:sz w:val="12"/>
        </w:rPr>
        <w:t>《届の裏面</w:t>
      </w:r>
      <w:r>
        <w:rPr>
          <w:b/>
          <w:spacing w:val="4"/>
          <w:w w:val="95"/>
          <w:sz w:val="12"/>
        </w:rPr>
        <w:t>（</w:t>
      </w:r>
      <w:r>
        <w:rPr>
          <w:b/>
          <w:spacing w:val="3"/>
          <w:w w:val="95"/>
          <w:sz w:val="12"/>
        </w:rPr>
        <w:t>取扱い</w:t>
      </w:r>
      <w:r>
        <w:rPr>
          <w:b/>
          <w:spacing w:val="4"/>
          <w:w w:val="95"/>
          <w:sz w:val="12"/>
        </w:rPr>
        <w:t>（抜粋</w:t>
      </w:r>
      <w:r>
        <w:rPr>
          <w:b/>
          <w:spacing w:val="3"/>
          <w:w w:val="95"/>
          <w:sz w:val="12"/>
        </w:rPr>
        <w:t>））</w:t>
      </w:r>
      <w:r>
        <w:rPr>
          <w:b/>
          <w:w w:val="95"/>
          <w:sz w:val="12"/>
        </w:rPr>
        <w:t>》</w:t>
      </w:r>
    </w:p>
    <w:p>
      <w:pPr>
        <w:pStyle w:val="BodyText"/>
        <w:spacing w:before="5"/>
        <w:rPr>
          <w:b/>
        </w:rPr>
      </w:pPr>
    </w:p>
    <w:p>
      <w:pPr>
        <w:pStyle w:val="BodyText"/>
        <w:tabs>
          <w:tab w:pos="1769" w:val="left" w:leader="none"/>
          <w:tab w:pos="2213" w:val="left" w:leader="none"/>
          <w:tab w:pos="2657" w:val="left" w:leader="none"/>
        </w:tabs>
        <w:spacing w:line="242" w:lineRule="auto"/>
        <w:ind w:left="1325" w:right="171" w:firstLine="60"/>
        <w:jc w:val="right"/>
      </w:pPr>
      <w:r>
        <w:rPr>
          <w:spacing w:val="4"/>
        </w:rPr>
        <w:t>平</w:t>
      </w:r>
      <w:r>
        <w:rPr/>
        <w:t>成</w:t>
      </w:r>
      <w:r>
        <w:rPr>
          <w:spacing w:val="7"/>
        </w:rPr>
        <w:t> </w:t>
      </w:r>
      <w:r>
        <w:rPr>
          <w:spacing w:val="3"/>
        </w:rPr>
        <w:t>２１</w:t>
      </w:r>
      <w:r>
        <w:rPr/>
        <w:t>年</w:t>
      </w:r>
      <w:r>
        <w:rPr>
          <w:spacing w:val="13"/>
        </w:rPr>
        <w:t> </w:t>
      </w:r>
      <w:r>
        <w:rPr>
          <w:spacing w:val="3"/>
        </w:rPr>
        <w:t>９</w:t>
      </w:r>
      <w:r>
        <w:rPr/>
        <w:t>月</w:t>
      </w:r>
      <w:r>
        <w:rPr>
          <w:spacing w:val="9"/>
        </w:rPr>
        <w:t> </w:t>
      </w:r>
      <w:r>
        <w:rPr>
          <w:spacing w:val="3"/>
        </w:rPr>
        <w:t>１６</w:t>
      </w:r>
      <w:r>
        <w:rPr>
          <w:spacing w:val="-12"/>
        </w:rPr>
        <w:t>日</w:t>
      </w:r>
      <w:r>
        <w:rPr/>
        <w:t>学</w:t>
        <w:tab/>
        <w:t>長</w:t>
        <w:tab/>
        <w:t>裁</w:t>
        <w:tab/>
        <w:t>定</w:t>
      </w:r>
      <w:r>
        <w:rPr>
          <w:spacing w:val="4"/>
        </w:rPr>
        <w:t>改</w:t>
      </w:r>
      <w:r>
        <w:rPr/>
        <w:t>正</w:t>
      </w:r>
      <w:r>
        <w:rPr>
          <w:spacing w:val="7"/>
        </w:rPr>
        <w:t> </w:t>
      </w:r>
      <w:r>
        <w:rPr>
          <w:spacing w:val="4"/>
        </w:rPr>
        <w:t>令</w:t>
      </w:r>
      <w:r>
        <w:rPr/>
        <w:t>和</w:t>
      </w:r>
      <w:r>
        <w:rPr>
          <w:spacing w:val="7"/>
        </w:rPr>
        <w:t> </w:t>
      </w:r>
      <w:r>
        <w:rPr>
          <w:spacing w:val="4"/>
        </w:rPr>
        <w:t>５</w:t>
      </w:r>
      <w:r>
        <w:rPr/>
        <w:t>年</w:t>
      </w:r>
      <w:r>
        <w:rPr>
          <w:spacing w:val="8"/>
        </w:rPr>
        <w:t> </w:t>
      </w:r>
      <w:r>
        <w:rPr>
          <w:spacing w:val="4"/>
        </w:rPr>
        <w:t>２</w:t>
      </w:r>
      <w:r>
        <w:rPr>
          <w:spacing w:val="3"/>
        </w:rPr>
        <w:t>月２２</w:t>
      </w:r>
      <w:r>
        <w:rPr>
          <w:spacing w:val="-11"/>
        </w:rPr>
        <w:t>日</w:t>
      </w:r>
    </w:p>
    <w:p>
      <w:pPr>
        <w:spacing w:after="0" w:line="242" w:lineRule="auto"/>
        <w:jc w:val="right"/>
        <w:sectPr>
          <w:pgSz w:w="11910" w:h="16840"/>
          <w:pgMar w:top="740" w:bottom="280" w:left="740" w:right="680"/>
          <w:cols w:num="2" w:equalWidth="0">
            <w:col w:w="7393" w:space="40"/>
            <w:col w:w="3057"/>
          </w:cols>
        </w:sectPr>
      </w:pPr>
    </w:p>
    <w:p>
      <w:pPr>
        <w:pStyle w:val="BodyText"/>
        <w:spacing w:before="1"/>
        <w:rPr>
          <w:sz w:val="15"/>
        </w:rPr>
      </w:pPr>
    </w:p>
    <w:p>
      <w:pPr>
        <w:pStyle w:val="BodyText"/>
        <w:spacing w:line="242" w:lineRule="auto" w:before="84"/>
        <w:ind w:left="110" w:right="166"/>
      </w:pPr>
      <w:r>
        <w:rPr/>
        <w:t>岡山大学（以下「本学」という。）の学生の通学が困難となる事由が発生した場合における授業（定期試験を含む。以下同じ。）及び課外活動（以下「授業等」という。）の取扱いについて，次のとおり定める。</w:t>
      </w:r>
    </w:p>
    <w:p>
      <w:pPr>
        <w:pStyle w:val="BodyText"/>
        <w:spacing w:before="10"/>
        <w:rPr>
          <w:sz w:val="10"/>
        </w:rPr>
      </w:pPr>
    </w:p>
    <w:p>
      <w:pPr>
        <w:pStyle w:val="BodyText"/>
        <w:ind w:left="110"/>
      </w:pPr>
      <w:r>
        <w:rPr/>
        <w:t>（定義）</w:t>
      </w:r>
    </w:p>
    <w:p>
      <w:pPr>
        <w:pStyle w:val="BodyText"/>
        <w:spacing w:line="242" w:lineRule="auto" w:before="2"/>
        <w:ind w:left="235" w:right="4669" w:hanging="125"/>
      </w:pPr>
      <w:r>
        <w:rPr/>
        <w:t>第１ この取扱いにおける次の各号に掲げる用語の意義は，それぞれ当該各号に定めるとおりとする。一 休講 授業を取りやめることをいう。</w:t>
      </w:r>
    </w:p>
    <w:p>
      <w:pPr>
        <w:pStyle w:val="BodyText"/>
        <w:spacing w:line="242" w:lineRule="auto"/>
        <w:ind w:left="235" w:right="4297"/>
      </w:pPr>
      <w:r>
        <w:rPr/>
        <w:t>二 公欠  一定の条件を満たすことにより，授業に出席したものとみなす取扱いとする授業の欠席をいう。三 準公欠 一定の条件を満たすことにより，前号に準ずる取扱いとする授業の欠席をいう。</w:t>
      </w:r>
    </w:p>
    <w:p>
      <w:pPr>
        <w:pStyle w:val="BodyText"/>
        <w:spacing w:before="2"/>
        <w:ind w:left="235"/>
      </w:pPr>
      <w:r>
        <w:rPr/>
        <w:t>四 出席停止 学校保健安全法第１９条に規定する出席停止をいう。</w:t>
      </w:r>
    </w:p>
    <w:p>
      <w:pPr>
        <w:pStyle w:val="BodyText"/>
        <w:spacing w:before="10"/>
        <w:rPr>
          <w:sz w:val="10"/>
        </w:rPr>
      </w:pPr>
    </w:p>
    <w:p>
      <w:pPr>
        <w:pStyle w:val="BodyText"/>
        <w:spacing w:before="1"/>
        <w:ind w:left="110"/>
      </w:pPr>
      <w:r>
        <w:rPr/>
        <w:t>（特別警報及び気象警報が発表された場合等の取扱い）</w:t>
      </w:r>
    </w:p>
    <w:p>
      <w:pPr>
        <w:pStyle w:val="BodyText"/>
        <w:spacing w:line="242" w:lineRule="auto" w:before="2"/>
        <w:ind w:left="235" w:right="3430" w:hanging="125"/>
      </w:pPr>
      <w:r>
        <w:rPr/>
        <w:t>第２ 次の各号に掲げる場合の対応について，当該各号に定めるとおりとし，その取扱いは，別紙１に定めるとおりとする。一 本学の所在地に特別警報又は気象警報が発表された場合 授業等を休講とする。</w:t>
      </w:r>
    </w:p>
    <w:p>
      <w:pPr>
        <w:pStyle w:val="BodyText"/>
        <w:spacing w:line="242" w:lineRule="auto"/>
        <w:ind w:left="359" w:right="205" w:hanging="124"/>
      </w:pPr>
      <w:r>
        <w:rPr/>
        <w:t>二 前号の警報は発表されていないが，気象状況又は交通機関の運行休止等により，学生の通学が困難となる可能性が高い場合  教育担当理事が兼ねる副学長の判断により，授業等を休講とすることがある。</w:t>
      </w:r>
    </w:p>
    <w:p>
      <w:pPr>
        <w:pStyle w:val="BodyText"/>
        <w:spacing w:before="11"/>
        <w:rPr>
          <w:sz w:val="10"/>
        </w:rPr>
      </w:pPr>
    </w:p>
    <w:p>
      <w:pPr>
        <w:pStyle w:val="BodyText"/>
        <w:ind w:left="110"/>
      </w:pPr>
      <w:r>
        <w:rPr/>
        <w:t>（通学に利用する交通機関が運行休止になった場合等の取扱い）</w:t>
      </w:r>
    </w:p>
    <w:p>
      <w:pPr>
        <w:pStyle w:val="BodyText"/>
        <w:spacing w:line="242" w:lineRule="auto" w:before="1"/>
        <w:ind w:left="359" w:right="205" w:hanging="249"/>
      </w:pPr>
      <w:r>
        <w:rPr/>
        <w:t>第３ 休講措置の対象となる気象警報は発表されていないが，その他の警報等により，通学に利用する交通機関が運行休止になった場合その他これに準じる理由により通学が困難な場合は公欠とし，その取扱いは，別紙１に定めるとおりとする。</w:t>
      </w:r>
    </w:p>
    <w:p>
      <w:pPr>
        <w:pStyle w:val="BodyText"/>
        <w:spacing w:before="12"/>
        <w:rPr>
          <w:sz w:val="10"/>
        </w:rPr>
      </w:pPr>
    </w:p>
    <w:p>
      <w:pPr>
        <w:pStyle w:val="BodyText"/>
        <w:ind w:left="110"/>
      </w:pPr>
      <w:r>
        <w:rPr/>
        <w:t>（学生の親族が死亡した場合の取扱い）</w:t>
      </w:r>
    </w:p>
    <w:p>
      <w:pPr>
        <w:pStyle w:val="BodyText"/>
        <w:spacing w:line="242" w:lineRule="auto" w:before="1"/>
        <w:ind w:left="359" w:right="205" w:hanging="249"/>
      </w:pPr>
      <w:r>
        <w:rPr/>
        <w:t>第４ 学生の親族が死亡した場合で，学生が，葬儀，服喪その他親族の死亡に伴い必要と認められる行事のために通学できない場合は公欠とし，その取扱いは，別紙２に定めるとおりとする。</w:t>
      </w:r>
    </w:p>
    <w:p>
      <w:pPr>
        <w:pStyle w:val="BodyText"/>
        <w:spacing w:before="11"/>
        <w:rPr>
          <w:sz w:val="10"/>
        </w:rPr>
      </w:pPr>
    </w:p>
    <w:p>
      <w:pPr>
        <w:pStyle w:val="BodyText"/>
        <w:ind w:left="110"/>
      </w:pPr>
      <w:r>
        <w:rPr/>
        <w:t>（学生が感染症に罹患した場合等の取扱い）</w:t>
      </w:r>
    </w:p>
    <w:p>
      <w:pPr>
        <w:pStyle w:val="BodyText"/>
        <w:spacing w:before="2"/>
        <w:ind w:left="110"/>
      </w:pPr>
      <w:r>
        <w:rPr/>
        <w:t>第５ 学生が，感染症に罹患した場合及び感染の拡大を防止するために本学の一部又は全部を休業する場合は出席停止及び公欠等とし，その取扱いは，別紙３に定めるとおりとする。</w:t>
      </w:r>
    </w:p>
    <w:p>
      <w:pPr>
        <w:pStyle w:val="BodyText"/>
        <w:spacing w:before="11"/>
        <w:rPr>
          <w:sz w:val="10"/>
        </w:rPr>
      </w:pPr>
    </w:p>
    <w:p>
      <w:pPr>
        <w:pStyle w:val="BodyText"/>
        <w:ind w:left="110"/>
      </w:pPr>
      <w:r>
        <w:rPr/>
        <w:t>（第６～第９ 省略）</w:t>
      </w:r>
    </w:p>
    <w:p>
      <w:pPr>
        <w:pStyle w:val="BodyText"/>
        <w:spacing w:before="12"/>
        <w:rPr>
          <w:sz w:val="10"/>
        </w:rPr>
      </w:pPr>
    </w:p>
    <w:p>
      <w:pPr>
        <w:pStyle w:val="BodyText"/>
        <w:ind w:left="110"/>
      </w:pPr>
      <w:r>
        <w:rPr/>
        <w:t>（届出期限）</w:t>
      </w:r>
    </w:p>
    <w:p>
      <w:pPr>
        <w:pStyle w:val="BodyText"/>
        <w:spacing w:before="3"/>
        <w:ind w:left="482" w:right="205" w:hanging="372"/>
      </w:pPr>
      <w:r>
        <w:rPr/>
        <w:t>第１０ 本取扱いで定めるものにおける届出については，当該事由発生後ただちに提出することを原則とするが，最大で２週間までを提出期限とする。ただし，第５に定めるものにおける届出においては，出席停止の期間終了後ただちに提出することを原則とするが，最大で２週間までを提出期限とする。</w:t>
      </w:r>
    </w:p>
    <w:p>
      <w:pPr>
        <w:pStyle w:val="BodyText"/>
        <w:rPr>
          <w:sz w:val="11"/>
        </w:rPr>
      </w:pPr>
    </w:p>
    <w:p>
      <w:pPr>
        <w:pStyle w:val="BodyText"/>
        <w:ind w:left="110"/>
      </w:pPr>
      <w:r>
        <w:rPr/>
        <w:t>（雑則）</w:t>
      </w:r>
    </w:p>
    <w:p>
      <w:pPr>
        <w:pStyle w:val="BodyText"/>
        <w:spacing w:before="2"/>
        <w:ind w:left="482" w:right="109" w:hanging="372"/>
      </w:pPr>
      <w:r>
        <w:rPr/>
        <w:t>第１１ 第２から第９までに定めるもののほか，学生の通学が困難となる事由が発生した場合であって，学長が特別の事情があると認めるときの授業等の取扱いについては，その都度， 学長が定める。</w:t>
      </w:r>
    </w:p>
    <w:p>
      <w:pPr>
        <w:spacing w:after="0"/>
        <w:sectPr>
          <w:type w:val="continuous"/>
          <w:pgSz w:w="11910" w:h="16840"/>
          <w:pgMar w:top="560" w:bottom="280" w:left="740" w:right="680"/>
        </w:sectPr>
      </w:pPr>
    </w:p>
    <w:p>
      <w:pPr>
        <w:pStyle w:val="BodyText"/>
        <w:rPr>
          <w:sz w:val="11"/>
        </w:rPr>
      </w:pPr>
    </w:p>
    <w:p>
      <w:pPr>
        <w:pStyle w:val="BodyText"/>
        <w:spacing w:before="1"/>
        <w:ind w:left="110"/>
      </w:pPr>
      <w:r>
        <w:rPr/>
        <w:t>（附 則 省 略）</w:t>
      </w:r>
    </w:p>
    <w:p>
      <w:pPr>
        <w:pStyle w:val="BodyText"/>
        <w:spacing w:before="3"/>
      </w:pPr>
    </w:p>
    <w:p>
      <w:pPr>
        <w:pStyle w:val="Heading3"/>
      </w:pPr>
      <w:r>
        <w:rPr/>
        <w:t>感染症【出席停止，公欠等】</w:t>
      </w:r>
    </w:p>
    <w:p>
      <w:pPr>
        <w:pStyle w:val="BodyText"/>
        <w:spacing w:before="12"/>
        <w:rPr>
          <w:b/>
          <w:sz w:val="10"/>
        </w:rPr>
      </w:pPr>
    </w:p>
    <w:p>
      <w:pPr>
        <w:pStyle w:val="BodyText"/>
        <w:ind w:left="110"/>
      </w:pPr>
      <w:r>
        <w:rPr/>
        <w:t>Ⅰ 学生が感染症に罹患した場合</w:t>
      </w:r>
    </w:p>
    <w:p>
      <w:pPr>
        <w:pStyle w:val="BodyText"/>
        <w:spacing w:before="12"/>
        <w:rPr>
          <w:sz w:val="10"/>
        </w:rPr>
      </w:pPr>
    </w:p>
    <w:p>
      <w:pPr>
        <w:pStyle w:val="BodyText"/>
        <w:ind w:left="235"/>
      </w:pPr>
      <w:r>
        <w:rPr/>
        <w:t>１ 学生が，次表の感染症に罹患した場合は，医師の診断に基づき，出席停止とする。</w:t>
      </w:r>
    </w:p>
    <w:p>
      <w:pPr>
        <w:pStyle w:val="BodyText"/>
      </w:pPr>
      <w:r>
        <w:rPr/>
        <w:br w:type="column"/>
      </w:r>
      <w:r>
        <w:rPr/>
      </w:r>
    </w:p>
    <w:p>
      <w:pPr>
        <w:pStyle w:val="BodyText"/>
        <w:spacing w:before="3"/>
        <w:rPr>
          <w:sz w:val="11"/>
        </w:rPr>
      </w:pPr>
    </w:p>
    <w:p>
      <w:pPr>
        <w:pStyle w:val="Heading3"/>
      </w:pPr>
      <w:r>
        <w:rPr/>
        <w:t>別紙３（第５関係）</w:t>
      </w:r>
    </w:p>
    <w:p>
      <w:pPr>
        <w:spacing w:after="0"/>
        <w:sectPr>
          <w:type w:val="continuous"/>
          <w:pgSz w:w="11910" w:h="16840"/>
          <w:pgMar w:top="560" w:bottom="280" w:left="740" w:right="680"/>
          <w:cols w:num="2" w:equalWidth="0">
            <w:col w:w="5111" w:space="3972"/>
            <w:col w:w="1407"/>
          </w:cols>
        </w:sect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
        <w:gridCol w:w="9113"/>
      </w:tblGrid>
      <w:tr>
        <w:trPr>
          <w:trHeight w:val="155" w:hRule="atLeast"/>
        </w:trPr>
        <w:tc>
          <w:tcPr>
            <w:tcW w:w="689" w:type="dxa"/>
          </w:tcPr>
          <w:p>
            <w:pPr>
              <w:pStyle w:val="TableParagraph"/>
              <w:spacing w:line="135" w:lineRule="exact" w:before="1"/>
              <w:ind w:left="142" w:right="137"/>
              <w:jc w:val="center"/>
              <w:rPr>
                <w:sz w:val="12"/>
              </w:rPr>
            </w:pPr>
            <w:r>
              <w:rPr>
                <w:sz w:val="12"/>
              </w:rPr>
              <w:t>種 類</w:t>
            </w:r>
          </w:p>
        </w:tc>
        <w:tc>
          <w:tcPr>
            <w:tcW w:w="9113" w:type="dxa"/>
          </w:tcPr>
          <w:p>
            <w:pPr>
              <w:pStyle w:val="TableParagraph"/>
              <w:tabs>
                <w:tab w:pos="500" w:val="left" w:leader="none"/>
              </w:tabs>
              <w:spacing w:line="135" w:lineRule="exact" w:before="1"/>
              <w:ind w:left="4"/>
              <w:jc w:val="center"/>
              <w:rPr>
                <w:sz w:val="12"/>
              </w:rPr>
            </w:pPr>
            <w:r>
              <w:rPr>
                <w:sz w:val="12"/>
              </w:rPr>
              <w:t>病</w:t>
              <w:tab/>
              <w:t>名</w:t>
            </w:r>
          </w:p>
        </w:tc>
      </w:tr>
      <w:tr>
        <w:trPr>
          <w:trHeight w:val="466" w:hRule="atLeast"/>
        </w:trPr>
        <w:tc>
          <w:tcPr>
            <w:tcW w:w="689" w:type="dxa"/>
          </w:tcPr>
          <w:p>
            <w:pPr>
              <w:pStyle w:val="TableParagraph"/>
              <w:spacing w:before="2"/>
              <w:rPr>
                <w:b/>
                <w:sz w:val="12"/>
              </w:rPr>
            </w:pPr>
          </w:p>
          <w:p>
            <w:pPr>
              <w:pStyle w:val="TableParagraph"/>
              <w:ind w:left="142" w:right="137"/>
              <w:jc w:val="center"/>
              <w:rPr>
                <w:sz w:val="12"/>
              </w:rPr>
            </w:pPr>
            <w:r>
              <w:rPr>
                <w:sz w:val="12"/>
              </w:rPr>
              <w:t>第１種</w:t>
            </w:r>
          </w:p>
        </w:tc>
        <w:tc>
          <w:tcPr>
            <w:tcW w:w="9113" w:type="dxa"/>
          </w:tcPr>
          <w:p>
            <w:pPr>
              <w:pStyle w:val="TableParagraph"/>
              <w:spacing w:before="1"/>
              <w:ind w:left="107" w:right="100" w:firstLine="124"/>
              <w:rPr>
                <w:sz w:val="12"/>
              </w:rPr>
            </w:pPr>
            <w:r>
              <w:rPr>
                <w:sz w:val="12"/>
              </w:rPr>
              <w:t>エボラ出血熱，クリミア・コンゴ出血熱，痘そう，南米出血熱，ペスト，マールブルグ病，ラッサ熱，急性灰白髄炎，ジフテリア，重症急性呼吸器症候群（病原体がコロナウイルス属ＳＡＲＳコロナウイルスであるものに限る。），鳥インフルエンザ（病原体がインフルエンザウイルスＡ属インフルエンザＡウイルスで</w:t>
            </w:r>
          </w:p>
          <w:p>
            <w:pPr>
              <w:pStyle w:val="TableParagraph"/>
              <w:spacing w:line="135" w:lineRule="exact" w:before="3"/>
              <w:ind w:left="107"/>
              <w:rPr>
                <w:sz w:val="12"/>
              </w:rPr>
            </w:pPr>
            <w:r>
              <w:rPr>
                <w:sz w:val="12"/>
              </w:rPr>
              <w:t>あってその血清亜型がＨ５Ｎ１であるものに限る。），新型インフルエンザ等感染症，指定感染症，新感染症</w:t>
            </w:r>
          </w:p>
        </w:tc>
      </w:tr>
      <w:tr>
        <w:trPr>
          <w:trHeight w:val="311" w:hRule="atLeast"/>
        </w:trPr>
        <w:tc>
          <w:tcPr>
            <w:tcW w:w="689" w:type="dxa"/>
          </w:tcPr>
          <w:p>
            <w:pPr>
              <w:pStyle w:val="TableParagraph"/>
              <w:spacing w:before="79"/>
              <w:ind w:left="142" w:right="137"/>
              <w:jc w:val="center"/>
              <w:rPr>
                <w:sz w:val="12"/>
              </w:rPr>
            </w:pPr>
            <w:r>
              <w:rPr>
                <w:sz w:val="12"/>
              </w:rPr>
              <w:t>第２種</w:t>
            </w:r>
          </w:p>
        </w:tc>
        <w:tc>
          <w:tcPr>
            <w:tcW w:w="9113" w:type="dxa"/>
          </w:tcPr>
          <w:p>
            <w:pPr>
              <w:pStyle w:val="TableParagraph"/>
              <w:spacing w:before="1"/>
              <w:ind w:left="232"/>
              <w:rPr>
                <w:sz w:val="12"/>
              </w:rPr>
            </w:pPr>
            <w:r>
              <w:rPr>
                <w:sz w:val="12"/>
              </w:rPr>
              <w:t>インフルエンザ（鳥インフルエンザ（Ｈ５Ｎ１）及び新型インフルエンザ等感染症を除く。），百日咳，麻疹，流行性耳下腺炎，風疹，水痘，咽頭結膜熱，結</w:t>
            </w:r>
          </w:p>
          <w:p>
            <w:pPr>
              <w:pStyle w:val="TableParagraph"/>
              <w:spacing w:line="135" w:lineRule="exact" w:before="2"/>
              <w:ind w:left="107"/>
              <w:rPr>
                <w:sz w:val="12"/>
              </w:rPr>
            </w:pPr>
            <w:r>
              <w:rPr>
                <w:sz w:val="12"/>
              </w:rPr>
              <w:t>核，髄膜炎菌性髄膜炎</w:t>
            </w:r>
          </w:p>
        </w:tc>
      </w:tr>
      <w:tr>
        <w:trPr>
          <w:trHeight w:val="155" w:hRule="atLeast"/>
        </w:trPr>
        <w:tc>
          <w:tcPr>
            <w:tcW w:w="689" w:type="dxa"/>
          </w:tcPr>
          <w:p>
            <w:pPr>
              <w:pStyle w:val="TableParagraph"/>
              <w:spacing w:line="135" w:lineRule="exact" w:before="1"/>
              <w:ind w:left="142" w:right="137"/>
              <w:jc w:val="center"/>
              <w:rPr>
                <w:sz w:val="12"/>
              </w:rPr>
            </w:pPr>
            <w:r>
              <w:rPr>
                <w:sz w:val="12"/>
              </w:rPr>
              <w:t>第３種</w:t>
            </w:r>
          </w:p>
        </w:tc>
        <w:tc>
          <w:tcPr>
            <w:tcW w:w="9113" w:type="dxa"/>
          </w:tcPr>
          <w:p>
            <w:pPr>
              <w:pStyle w:val="TableParagraph"/>
              <w:spacing w:line="135" w:lineRule="exact" w:before="1"/>
              <w:ind w:left="232"/>
              <w:rPr>
                <w:sz w:val="12"/>
              </w:rPr>
            </w:pPr>
            <w:r>
              <w:rPr>
                <w:sz w:val="12"/>
              </w:rPr>
              <w:t>コレラ，細菌性赤痢，腸管出血性大腸菌感染症，腸チフス，パラチフス，流行性角結膜炎，急性出血性結膜炎その他の感染症（※）</w:t>
            </w:r>
          </w:p>
        </w:tc>
      </w:tr>
    </w:tbl>
    <w:p>
      <w:pPr>
        <w:pStyle w:val="BodyText"/>
        <w:spacing w:line="242" w:lineRule="auto" w:before="1"/>
        <w:ind w:left="607" w:right="104" w:hanging="125"/>
      </w:pPr>
      <w:r>
        <w:rPr/>
        <w:t>※ 「その他の感染症」とは，感染性胃腸炎（ノロウイルス感染症），マイコプラズマ感染症，溶連菌感染症及び本学において大規模な流行の兆しがあると判断した感染症とする。本学において大規模な流行の兆しがある感染症については，保健管理センター長の意見に基づき，教育担当理事が決定し，公示する。</w:t>
      </w:r>
    </w:p>
    <w:p>
      <w:pPr>
        <w:pStyle w:val="BodyText"/>
        <w:spacing w:before="10"/>
        <w:rPr>
          <w:sz w:val="10"/>
        </w:rPr>
      </w:pPr>
    </w:p>
    <w:p>
      <w:pPr>
        <w:pStyle w:val="BodyText"/>
        <w:ind w:left="235"/>
      </w:pPr>
      <w:r>
        <w:rPr/>
        <w:t>２ 出席停止の期間</w:t>
      </w:r>
    </w:p>
    <w:p>
      <w:pPr>
        <w:pStyle w:val="BodyText"/>
        <w:spacing w:line="242" w:lineRule="auto" w:before="2"/>
        <w:ind w:left="359" w:right="826" w:firstLine="248"/>
      </w:pPr>
      <w:r>
        <w:rPr/>
        <w:t>出席停止の期間は，次表の期間を基準に，医師に治癒したと診断されるまでとし，医師の発行する次の項目が記載された診断書（治癒証明書）に基づき措置する。一 病 名</w:t>
      </w:r>
    </w:p>
    <w:p>
      <w:pPr>
        <w:pStyle w:val="BodyText"/>
        <w:ind w:left="359"/>
      </w:pPr>
      <w:r>
        <w:rPr/>
        <w:t>二 罹患期間</w:t>
      </w: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6"/>
        <w:gridCol w:w="8845"/>
      </w:tblGrid>
      <w:tr>
        <w:trPr>
          <w:trHeight w:val="311" w:hRule="atLeast"/>
        </w:trPr>
        <w:tc>
          <w:tcPr>
            <w:tcW w:w="956" w:type="dxa"/>
          </w:tcPr>
          <w:p>
            <w:pPr>
              <w:pStyle w:val="TableParagraph"/>
              <w:spacing w:before="1"/>
              <w:ind w:left="156" w:right="150"/>
              <w:jc w:val="center"/>
              <w:rPr>
                <w:sz w:val="12"/>
              </w:rPr>
            </w:pPr>
            <w:r>
              <w:rPr>
                <w:sz w:val="12"/>
              </w:rPr>
              <w:t>感染症の種</w:t>
            </w:r>
          </w:p>
          <w:p>
            <w:pPr>
              <w:pStyle w:val="TableParagraph"/>
              <w:spacing w:line="135" w:lineRule="exact" w:before="2"/>
              <w:ind w:left="6"/>
              <w:jc w:val="center"/>
              <w:rPr>
                <w:sz w:val="12"/>
              </w:rPr>
            </w:pPr>
            <w:r>
              <w:rPr>
                <w:sz w:val="12"/>
              </w:rPr>
              <w:t>類</w:t>
            </w:r>
          </w:p>
        </w:tc>
        <w:tc>
          <w:tcPr>
            <w:tcW w:w="8845" w:type="dxa"/>
          </w:tcPr>
          <w:p>
            <w:pPr>
              <w:pStyle w:val="TableParagraph"/>
              <w:spacing w:before="79"/>
              <w:ind w:left="3621" w:right="3614"/>
              <w:jc w:val="center"/>
              <w:rPr>
                <w:sz w:val="12"/>
              </w:rPr>
            </w:pPr>
            <w:r>
              <w:rPr>
                <w:sz w:val="12"/>
              </w:rPr>
              <w:t>出  席  停  止  の  期  間</w:t>
            </w:r>
          </w:p>
        </w:tc>
      </w:tr>
      <w:tr>
        <w:trPr>
          <w:trHeight w:val="155" w:hRule="atLeast"/>
        </w:trPr>
        <w:tc>
          <w:tcPr>
            <w:tcW w:w="956" w:type="dxa"/>
          </w:tcPr>
          <w:p>
            <w:pPr>
              <w:pStyle w:val="TableParagraph"/>
              <w:spacing w:line="135" w:lineRule="exact" w:before="1"/>
              <w:ind w:left="292"/>
              <w:rPr>
                <w:sz w:val="12"/>
              </w:rPr>
            </w:pPr>
            <w:r>
              <w:rPr>
                <w:sz w:val="12"/>
              </w:rPr>
              <w:t>第１種</w:t>
            </w:r>
          </w:p>
        </w:tc>
        <w:tc>
          <w:tcPr>
            <w:tcW w:w="8845" w:type="dxa"/>
          </w:tcPr>
          <w:p>
            <w:pPr>
              <w:pStyle w:val="TableParagraph"/>
              <w:spacing w:line="135" w:lineRule="exact" w:before="1"/>
              <w:ind w:left="233"/>
              <w:rPr>
                <w:sz w:val="12"/>
              </w:rPr>
            </w:pPr>
            <w:r>
              <w:rPr>
                <w:sz w:val="12"/>
              </w:rPr>
              <w:t>第１種の感染症に罹患した者については，治癒するまで。</w:t>
            </w:r>
          </w:p>
        </w:tc>
      </w:tr>
      <w:tr>
        <w:trPr>
          <w:trHeight w:val="1712" w:hRule="atLeast"/>
        </w:trPr>
        <w:tc>
          <w:tcPr>
            <w:tcW w:w="956"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11"/>
              <w:rPr>
                <w:sz w:val="12"/>
              </w:rPr>
            </w:pPr>
          </w:p>
          <w:p>
            <w:pPr>
              <w:pStyle w:val="TableParagraph"/>
              <w:ind w:left="292"/>
              <w:rPr>
                <w:sz w:val="12"/>
              </w:rPr>
            </w:pPr>
            <w:r>
              <w:rPr>
                <w:sz w:val="12"/>
              </w:rPr>
              <w:t>第２種</w:t>
            </w:r>
          </w:p>
        </w:tc>
        <w:tc>
          <w:tcPr>
            <w:tcW w:w="8845" w:type="dxa"/>
          </w:tcPr>
          <w:p>
            <w:pPr>
              <w:pStyle w:val="TableParagraph"/>
              <w:spacing w:before="1"/>
              <w:ind w:left="233"/>
              <w:rPr>
                <w:sz w:val="12"/>
              </w:rPr>
            </w:pPr>
            <w:r>
              <w:rPr>
                <w:sz w:val="12"/>
              </w:rPr>
              <w:t>第２種の感染症に罹患した者については，次の期間。ただし，病状により医師において感染のおそれがないと認めたときは，この限りでない。</w:t>
            </w:r>
          </w:p>
          <w:p>
            <w:pPr>
              <w:pStyle w:val="TableParagraph"/>
              <w:spacing w:before="2"/>
              <w:ind w:left="108" w:right="94"/>
              <w:rPr>
                <w:sz w:val="12"/>
              </w:rPr>
            </w:pPr>
            <w:r>
              <w:rPr>
                <w:sz w:val="12"/>
              </w:rPr>
              <w:t>イ インフルエンザ（鳥インフルエンザ（Ｈ５Ｎ１）及び新型インフルエンザ等感染症を除く。）にあっては，発症した後５日を経過し，かつ，解熱した後２日</w:t>
            </w:r>
          </w:p>
          <w:p>
            <w:pPr>
              <w:pStyle w:val="TableParagraph"/>
              <w:spacing w:before="3"/>
              <w:ind w:left="233"/>
              <w:rPr>
                <w:sz w:val="12"/>
              </w:rPr>
            </w:pPr>
            <w:r>
              <w:rPr>
                <w:sz w:val="12"/>
              </w:rPr>
              <w:t>を経過するまで。</w:t>
            </w:r>
          </w:p>
          <w:p>
            <w:pPr>
              <w:pStyle w:val="TableParagraph"/>
              <w:spacing w:line="242" w:lineRule="auto" w:before="2"/>
              <w:ind w:left="108" w:right="2400"/>
              <w:rPr>
                <w:sz w:val="12"/>
              </w:rPr>
            </w:pPr>
            <w:r>
              <w:rPr>
                <w:sz w:val="12"/>
              </w:rPr>
              <w:t>ロ 百日咳にあっては，特有の咳が消失するまで又は５日間の適正な抗菌性物質製剤による治療が終了するまで。ハ 麻疹にあっては，解熱した後３日を経過するまで。</w:t>
            </w:r>
          </w:p>
          <w:p>
            <w:pPr>
              <w:pStyle w:val="TableParagraph"/>
              <w:spacing w:line="242" w:lineRule="auto" w:before="1"/>
              <w:ind w:left="108" w:right="1413"/>
              <w:rPr>
                <w:sz w:val="12"/>
              </w:rPr>
            </w:pPr>
            <w:r>
              <w:rPr>
                <w:sz w:val="12"/>
              </w:rPr>
              <w:t>ニ 流行性耳下腺炎にあっては，耳下腺，顎下腺又は舌下腺の腫脹が発現した後５日を経過し，かつ，全身状態が良好になるまで。ホ 風疹にあっては，発疹が消失するまで。</w:t>
            </w:r>
          </w:p>
          <w:p>
            <w:pPr>
              <w:pStyle w:val="TableParagraph"/>
              <w:spacing w:before="1"/>
              <w:ind w:left="108"/>
              <w:rPr>
                <w:sz w:val="12"/>
              </w:rPr>
            </w:pPr>
            <w:r>
              <w:rPr>
                <w:sz w:val="12"/>
              </w:rPr>
              <w:t>ヘ 水痘にあっては，すべての発疹が痂皮化するまで。</w:t>
            </w:r>
          </w:p>
          <w:p>
            <w:pPr>
              <w:pStyle w:val="TableParagraph"/>
              <w:spacing w:before="1"/>
              <w:ind w:left="108"/>
              <w:rPr>
                <w:sz w:val="12"/>
              </w:rPr>
            </w:pPr>
            <w:r>
              <w:rPr>
                <w:sz w:val="12"/>
              </w:rPr>
              <w:t>ト 咽頭結膜熱にあっては，主要症状が消退した後２日を経過するまで。</w:t>
            </w:r>
          </w:p>
          <w:p>
            <w:pPr>
              <w:pStyle w:val="TableParagraph"/>
              <w:spacing w:line="135" w:lineRule="exact" w:before="2"/>
              <w:ind w:left="108"/>
              <w:rPr>
                <w:sz w:val="12"/>
              </w:rPr>
            </w:pPr>
            <w:r>
              <w:rPr>
                <w:sz w:val="12"/>
              </w:rPr>
              <w:t>チ 結核及び髄膜炎菌性髄膜炎にあっては，病状により医師において感染のおそれがないと認めるまで。</w:t>
            </w:r>
          </w:p>
        </w:tc>
      </w:tr>
      <w:tr>
        <w:trPr>
          <w:trHeight w:val="155" w:hRule="atLeast"/>
        </w:trPr>
        <w:tc>
          <w:tcPr>
            <w:tcW w:w="956" w:type="dxa"/>
          </w:tcPr>
          <w:p>
            <w:pPr>
              <w:pStyle w:val="TableParagraph"/>
              <w:spacing w:line="135" w:lineRule="exact" w:before="1"/>
              <w:ind w:left="292"/>
              <w:rPr>
                <w:sz w:val="12"/>
              </w:rPr>
            </w:pPr>
            <w:r>
              <w:rPr>
                <w:sz w:val="12"/>
              </w:rPr>
              <w:t>第３種</w:t>
            </w:r>
          </w:p>
        </w:tc>
        <w:tc>
          <w:tcPr>
            <w:tcW w:w="8845" w:type="dxa"/>
          </w:tcPr>
          <w:p>
            <w:pPr>
              <w:pStyle w:val="TableParagraph"/>
              <w:spacing w:line="135" w:lineRule="exact" w:before="1"/>
              <w:ind w:left="233"/>
              <w:rPr>
                <w:sz w:val="12"/>
              </w:rPr>
            </w:pPr>
            <w:r>
              <w:rPr>
                <w:sz w:val="12"/>
              </w:rPr>
              <w:t>第３種の感染症に罹患した者については，病状により医師において感染のおそれがないと認めるまで。</w:t>
            </w:r>
          </w:p>
        </w:tc>
      </w:tr>
    </w:tbl>
    <w:p>
      <w:pPr>
        <w:pStyle w:val="BodyText"/>
        <w:spacing w:before="11"/>
        <w:rPr>
          <w:sz w:val="10"/>
        </w:rPr>
      </w:pPr>
    </w:p>
    <w:p>
      <w:pPr>
        <w:pStyle w:val="BodyText"/>
        <w:ind w:left="235"/>
      </w:pPr>
      <w:r>
        <w:rPr/>
        <w:t>３ 出席停止となった期間の授業の取扱い</w:t>
      </w:r>
    </w:p>
    <w:p>
      <w:pPr>
        <w:pStyle w:val="BodyText"/>
        <w:spacing w:before="2"/>
        <w:ind w:left="607"/>
      </w:pPr>
      <w:r>
        <w:rPr/>
        <w:t>学生が，出席停止となった期間に出席できなかった授業については，届出により，公欠扱いとする。</w:t>
      </w:r>
    </w:p>
    <w:p>
      <w:pPr>
        <w:pStyle w:val="BodyText"/>
        <w:spacing w:before="11"/>
        <w:rPr>
          <w:sz w:val="10"/>
        </w:rPr>
      </w:pPr>
    </w:p>
    <w:p>
      <w:pPr>
        <w:pStyle w:val="BodyText"/>
        <w:ind w:left="235"/>
        <w:jc w:val="both"/>
      </w:pPr>
      <w:r>
        <w:rPr/>
        <w:t>４ 公欠の届出</w:t>
      </w:r>
    </w:p>
    <w:p>
      <w:pPr>
        <w:pStyle w:val="BodyText"/>
        <w:spacing w:line="242" w:lineRule="auto" w:before="2"/>
        <w:ind w:left="482" w:right="205" w:firstLine="124"/>
        <w:jc w:val="both"/>
      </w:pPr>
      <w:r>
        <w:rPr/>
        <w:t>公欠の届出は，別紙様式３「授業公欠届（感染症）」により，学生が所属する学部等の教務担当へ，医師が発行する罹患期間の記載された診断書（治癒証明書）（コピー可） とともに提出するものとする。ただし，インフルエンザに限り，発症日の記載された診断書（コピー可）及び「インフルエンザ経過報告書」の提出をもって，治癒証明書に代えることができる。</w:t>
      </w:r>
    </w:p>
    <w:p>
      <w:pPr>
        <w:pStyle w:val="BodyText"/>
        <w:spacing w:before="1"/>
        <w:ind w:left="607"/>
      </w:pPr>
      <w:r>
        <w:rPr/>
        <w:t>学部等の教務担当は，届出を受理した場合は，その写しにより授業担当教員へ連絡するものとする。</w:t>
      </w:r>
    </w:p>
    <w:p>
      <w:pPr>
        <w:pStyle w:val="BodyText"/>
        <w:spacing w:before="12"/>
        <w:rPr>
          <w:sz w:val="10"/>
        </w:rPr>
      </w:pPr>
    </w:p>
    <w:p>
      <w:pPr>
        <w:pStyle w:val="BodyText"/>
        <w:ind w:left="235"/>
      </w:pPr>
      <w:r>
        <w:rPr/>
        <w:t>５ 公欠の授業の取扱い</w:t>
      </w:r>
    </w:p>
    <w:p>
      <w:pPr>
        <w:pStyle w:val="BodyText"/>
        <w:spacing w:line="242" w:lineRule="auto" w:before="1"/>
        <w:ind w:left="607" w:right="1071"/>
      </w:pPr>
      <w:r>
        <w:rPr>
          <w:spacing w:val="3"/>
        </w:rPr>
        <w:t>公欠として取り扱う授業については，原則として補講は行わず，レポートやｅラーニング等により授業担当教員が当該授業に相当する学習を課すものとする。ただし，授業担当教員の判断により補講を行うことがある。</w:t>
      </w:r>
    </w:p>
    <w:p>
      <w:pPr>
        <w:pStyle w:val="BodyText"/>
        <w:spacing w:before="11"/>
        <w:rPr>
          <w:sz w:val="10"/>
        </w:rPr>
      </w:pPr>
    </w:p>
    <w:p>
      <w:pPr>
        <w:pStyle w:val="BodyText"/>
        <w:spacing w:before="1"/>
        <w:ind w:left="110"/>
      </w:pPr>
      <w:r>
        <w:rPr>
          <w:spacing w:val="2"/>
        </w:rPr>
        <w:t>Ⅱ  感染の拡大を防止するために本学の一部又は全部を休業する場合</w:t>
      </w:r>
    </w:p>
    <w:p>
      <w:pPr>
        <w:pStyle w:val="BodyText"/>
        <w:spacing w:before="2"/>
        <w:ind w:left="235"/>
      </w:pPr>
      <w:r>
        <w:rPr/>
        <w:t>１ 感染症罹患者の発生に伴い，感染症の感染拡大を防止する目的で行う休業措置については，本学の危機管理対策に基づくものとする。</w:t>
      </w:r>
    </w:p>
    <w:p>
      <w:pPr>
        <w:pStyle w:val="BodyText"/>
        <w:spacing w:before="1"/>
        <w:ind w:left="235"/>
      </w:pPr>
      <w:r>
        <w:rPr/>
        <w:t>２ 休業となった期間の授業の取扱いは，その都度，学長，教育担当理事及び関係者で協議の上，学長が決定するものとする。</w:t>
      </w:r>
    </w:p>
    <w:p>
      <w:pPr>
        <w:pStyle w:val="BodyText"/>
        <w:spacing w:before="2"/>
        <w:ind w:left="235"/>
      </w:pPr>
      <w:r>
        <w:rPr/>
        <w:t>３ 休業の周知は，Ｇｍａｉｌ，学内掲示，本学のホームページ及びマスメディア等を通じて行うものとする。</w:t>
      </w:r>
    </w:p>
    <w:sectPr>
      <w:type w:val="continuous"/>
      <w:pgSz w:w="11910" w:h="16840"/>
      <w:pgMar w:top="560" w:bottom="280" w:left="7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2"/>
      <w:szCs w:val="12"/>
    </w:rPr>
  </w:style>
  <w:style w:styleId="Heading1" w:type="paragraph">
    <w:name w:val="Heading 1"/>
    <w:basedOn w:val="Normal"/>
    <w:uiPriority w:val="1"/>
    <w:qFormat/>
    <w:pPr>
      <w:outlineLvl w:val="1"/>
    </w:pPr>
    <w:rPr>
      <w:rFonts w:ascii="ＭＳ 明朝" w:hAnsi="ＭＳ 明朝" w:eastAsia="ＭＳ 明朝" w:cs="ＭＳ 明朝"/>
      <w:sz w:val="21"/>
      <w:szCs w:val="21"/>
    </w:rPr>
  </w:style>
  <w:style w:styleId="Heading2" w:type="paragraph">
    <w:name w:val="Heading 2"/>
    <w:basedOn w:val="Normal"/>
    <w:uiPriority w:val="1"/>
    <w:qFormat/>
    <w:pPr>
      <w:spacing w:before="2"/>
      <w:ind w:left="266"/>
      <w:outlineLvl w:val="2"/>
    </w:pPr>
    <w:rPr>
      <w:rFonts w:ascii="ＭＳ 明朝" w:hAnsi="ＭＳ 明朝" w:eastAsia="ＭＳ 明朝" w:cs="ＭＳ 明朝"/>
      <w:sz w:val="16"/>
      <w:szCs w:val="16"/>
    </w:rPr>
  </w:style>
  <w:style w:styleId="Heading3" w:type="paragraph">
    <w:name w:val="Heading 3"/>
    <w:basedOn w:val="Normal"/>
    <w:uiPriority w:val="1"/>
    <w:qFormat/>
    <w:pPr>
      <w:ind w:left="110"/>
      <w:outlineLvl w:val="3"/>
    </w:pPr>
    <w:rPr>
      <w:rFonts w:ascii="ＭＳ 明朝" w:hAnsi="ＭＳ 明朝" w:eastAsia="ＭＳ 明朝" w:cs="ＭＳ 明朝"/>
      <w:b/>
      <w:bCs/>
      <w:sz w:val="12"/>
      <w:szCs w:val="1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fujita-t</dc:creator>
  <dc:title>&lt;4D6963726F736F667420576F7264202D20816995CA8E86816A8A7790B682CC92CA8A7782AA8DA293EF82C682C882E981638EF68BC6939982CC8EE688B582A282C982C282A282C42E646F6378&gt;</dc:title>
  <dcterms:created xsi:type="dcterms:W3CDTF">2023-04-26T06:56:39Z</dcterms:created>
  <dcterms:modified xsi:type="dcterms:W3CDTF">2023-04-26T06:56:39Z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PScript5.dll Version 5.2.2</vt:lpwstr>
  </property>
  <property fmtid="{D5CDD505-2E9C-101B-9397-08002B2CF9AE}" pid="4" name="LastSaved">
    <vt:filetime>2023-04-26T00:00:00Z</vt:filetime>
  </property>
</Properties>
</file>